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9C2135" w14:textId="77777777" w:rsidR="00263801" w:rsidRDefault="007E19A4" w:rsidP="006F15B1">
      <w:pPr>
        <w:spacing w:after="120"/>
        <w:jc w:val="center"/>
        <w:rPr>
          <w:b/>
        </w:rPr>
      </w:pPr>
      <w:r>
        <w:rPr>
          <w:b/>
        </w:rPr>
        <w:t>Intellectual Property Overview</w:t>
      </w:r>
    </w:p>
    <w:p w14:paraId="13B2C2ED" w14:textId="77777777" w:rsidR="00AB41CA" w:rsidRDefault="00AB41CA" w:rsidP="006F15B1">
      <w:pPr>
        <w:spacing w:after="120"/>
        <w:jc w:val="center"/>
        <w:rPr>
          <w:b/>
        </w:rPr>
      </w:pPr>
      <w:bookmarkStart w:id="0" w:name="_GoBack"/>
      <w:bookmarkEnd w:id="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00"/>
        <w:gridCol w:w="2587"/>
        <w:gridCol w:w="2628"/>
        <w:gridCol w:w="2630"/>
        <w:gridCol w:w="3705"/>
      </w:tblGrid>
      <w:tr w:rsidR="00143492" w14:paraId="42BC47EF" w14:textId="77777777" w:rsidTr="0021251B">
        <w:trPr>
          <w:cantSplit/>
          <w:tblHeader/>
        </w:trPr>
        <w:tc>
          <w:tcPr>
            <w:tcW w:w="1440" w:type="dxa"/>
            <w:shd w:val="clear" w:color="auto" w:fill="B4C6E7" w:themeFill="accent1" w:themeFillTint="66"/>
          </w:tcPr>
          <w:p w14:paraId="4BECBB50" w14:textId="77777777" w:rsidR="00AB41CA" w:rsidRDefault="00AB41CA" w:rsidP="006F15B1">
            <w:pPr>
              <w:spacing w:after="120"/>
              <w:jc w:val="center"/>
              <w:rPr>
                <w:b/>
              </w:rPr>
            </w:pPr>
          </w:p>
        </w:tc>
        <w:tc>
          <w:tcPr>
            <w:tcW w:w="2880" w:type="dxa"/>
            <w:shd w:val="clear" w:color="auto" w:fill="B4C6E7" w:themeFill="accent1" w:themeFillTint="66"/>
          </w:tcPr>
          <w:p w14:paraId="53DAD543" w14:textId="77777777" w:rsidR="00AB41CA" w:rsidRDefault="00AB41CA" w:rsidP="006F15B1">
            <w:pPr>
              <w:spacing w:after="120"/>
              <w:jc w:val="center"/>
              <w:rPr>
                <w:b/>
              </w:rPr>
            </w:pPr>
            <w:r>
              <w:rPr>
                <w:b/>
              </w:rPr>
              <w:t>Trade Secrets</w:t>
            </w:r>
          </w:p>
        </w:tc>
        <w:tc>
          <w:tcPr>
            <w:tcW w:w="2880" w:type="dxa"/>
            <w:shd w:val="clear" w:color="auto" w:fill="B4C6E7" w:themeFill="accent1" w:themeFillTint="66"/>
          </w:tcPr>
          <w:p w14:paraId="0D344615" w14:textId="77777777" w:rsidR="00AB41CA" w:rsidRDefault="00AB41CA" w:rsidP="006F15B1">
            <w:pPr>
              <w:spacing w:after="120"/>
              <w:jc w:val="center"/>
              <w:rPr>
                <w:b/>
              </w:rPr>
            </w:pPr>
            <w:r>
              <w:rPr>
                <w:b/>
              </w:rPr>
              <w:t>Trademarks</w:t>
            </w:r>
          </w:p>
        </w:tc>
        <w:tc>
          <w:tcPr>
            <w:tcW w:w="2880" w:type="dxa"/>
            <w:shd w:val="clear" w:color="auto" w:fill="B4C6E7" w:themeFill="accent1" w:themeFillTint="66"/>
          </w:tcPr>
          <w:p w14:paraId="297145D5" w14:textId="77777777" w:rsidR="00AB41CA" w:rsidRDefault="00AB41CA" w:rsidP="006F15B1">
            <w:pPr>
              <w:spacing w:after="120"/>
              <w:jc w:val="center"/>
              <w:rPr>
                <w:b/>
              </w:rPr>
            </w:pPr>
            <w:r>
              <w:rPr>
                <w:b/>
              </w:rPr>
              <w:t>Copyright</w:t>
            </w:r>
          </w:p>
        </w:tc>
        <w:tc>
          <w:tcPr>
            <w:tcW w:w="2880" w:type="dxa"/>
            <w:shd w:val="clear" w:color="auto" w:fill="B4C6E7" w:themeFill="accent1" w:themeFillTint="66"/>
          </w:tcPr>
          <w:p w14:paraId="7990CAAD" w14:textId="77777777" w:rsidR="00AB41CA" w:rsidRDefault="00AB41CA" w:rsidP="006F15B1">
            <w:pPr>
              <w:spacing w:after="120"/>
              <w:jc w:val="center"/>
              <w:rPr>
                <w:b/>
              </w:rPr>
            </w:pPr>
            <w:r>
              <w:rPr>
                <w:b/>
              </w:rPr>
              <w:t>Patent</w:t>
            </w:r>
          </w:p>
        </w:tc>
      </w:tr>
      <w:tr w:rsidR="00143492" w14:paraId="58C1A4BB" w14:textId="77777777" w:rsidTr="008E41D3">
        <w:trPr>
          <w:cantSplit/>
        </w:trPr>
        <w:tc>
          <w:tcPr>
            <w:tcW w:w="1440" w:type="dxa"/>
          </w:tcPr>
          <w:p w14:paraId="4C2063AE" w14:textId="77777777" w:rsidR="00AB41CA" w:rsidRDefault="00AE2E1D" w:rsidP="006F15B1">
            <w:pPr>
              <w:spacing w:after="120"/>
              <w:rPr>
                <w:b/>
              </w:rPr>
            </w:pPr>
            <w:r>
              <w:rPr>
                <w:b/>
              </w:rPr>
              <w:t>What is protected</w:t>
            </w:r>
          </w:p>
        </w:tc>
        <w:tc>
          <w:tcPr>
            <w:tcW w:w="2880" w:type="dxa"/>
          </w:tcPr>
          <w:p w14:paraId="119CEB79" w14:textId="77777777" w:rsidR="00AB41CA" w:rsidRPr="00D95125" w:rsidRDefault="00742D85" w:rsidP="006F15B1">
            <w:pPr>
              <w:spacing w:after="120"/>
            </w:pPr>
            <w:r>
              <w:t>C</w:t>
            </w:r>
            <w:r w:rsidR="00D95125">
              <w:t>onfidential business</w:t>
            </w:r>
            <w:r w:rsidR="009751AA">
              <w:t xml:space="preserve"> know-how</w:t>
            </w:r>
            <w:r w:rsidR="00D95125">
              <w:t xml:space="preserve"> (e.g., formulas, recipes, methods, processes)</w:t>
            </w:r>
          </w:p>
        </w:tc>
        <w:tc>
          <w:tcPr>
            <w:tcW w:w="2880" w:type="dxa"/>
          </w:tcPr>
          <w:p w14:paraId="4C022B97" w14:textId="77777777" w:rsidR="00AB41CA" w:rsidRPr="00D95125" w:rsidRDefault="003A71A0" w:rsidP="006F15B1">
            <w:pPr>
              <w:spacing w:after="120"/>
            </w:pPr>
            <w:r>
              <w:t>Basically, your brand: a</w:t>
            </w:r>
            <w:r w:rsidR="00830BE8">
              <w:t xml:space="preserve"> word/phrase, slogan, logo or visual symbol (trade dress) that </w:t>
            </w:r>
            <w:r w:rsidR="00DE366D">
              <w:t>supports a brand</w:t>
            </w:r>
          </w:p>
        </w:tc>
        <w:tc>
          <w:tcPr>
            <w:tcW w:w="2880" w:type="dxa"/>
          </w:tcPr>
          <w:p w14:paraId="0A4F2743" w14:textId="77777777" w:rsidR="00AB41CA" w:rsidRPr="00D95125" w:rsidRDefault="00161A89" w:rsidP="006F15B1">
            <w:pPr>
              <w:spacing w:after="120"/>
            </w:pPr>
            <w:r>
              <w:t>Writing,</w:t>
            </w:r>
            <w:r w:rsidR="00EF44BE">
              <w:t xml:space="preserve"> computer software</w:t>
            </w:r>
            <w:r w:rsidR="00D757DA">
              <w:t xml:space="preserve"> code</w:t>
            </w:r>
            <w:r w:rsidR="00EF44BE">
              <w:t>,</w:t>
            </w:r>
            <w:r>
              <w:t xml:space="preserve"> music, art, architecture, graphic design</w:t>
            </w:r>
          </w:p>
        </w:tc>
        <w:tc>
          <w:tcPr>
            <w:tcW w:w="2880" w:type="dxa"/>
          </w:tcPr>
          <w:p w14:paraId="19A1DBEE" w14:textId="77777777" w:rsidR="00AB41CA" w:rsidRDefault="00336C6D" w:rsidP="006F15B1">
            <w:pPr>
              <w:spacing w:after="120"/>
            </w:pPr>
            <w:r>
              <w:t>An invention in any of 3 categories:</w:t>
            </w:r>
          </w:p>
          <w:p w14:paraId="717F01D7" w14:textId="77777777" w:rsidR="00336C6D" w:rsidRDefault="00881E05" w:rsidP="006F15B1">
            <w:pPr>
              <w:pStyle w:val="ListParagraph"/>
              <w:numPr>
                <w:ilvl w:val="0"/>
                <w:numId w:val="1"/>
              </w:numPr>
              <w:spacing w:after="120"/>
              <w:ind w:left="241" w:hanging="241"/>
              <w:contextualSpacing w:val="0"/>
            </w:pPr>
            <w:r>
              <w:t>Utility (machine, process, manufactured good, method)</w:t>
            </w:r>
          </w:p>
          <w:p w14:paraId="307680C7" w14:textId="77777777" w:rsidR="00881E05" w:rsidRDefault="00881E05" w:rsidP="006F15B1">
            <w:pPr>
              <w:pStyle w:val="ListParagraph"/>
              <w:numPr>
                <w:ilvl w:val="0"/>
                <w:numId w:val="1"/>
              </w:numPr>
              <w:spacing w:after="120"/>
              <w:ind w:left="241" w:hanging="241"/>
              <w:contextualSpacing w:val="0"/>
            </w:pPr>
            <w:r>
              <w:t>Plant</w:t>
            </w:r>
          </w:p>
          <w:p w14:paraId="4D372CE1" w14:textId="77777777" w:rsidR="00881E05" w:rsidRPr="00D95125" w:rsidRDefault="00881E05" w:rsidP="006F15B1">
            <w:pPr>
              <w:pStyle w:val="ListParagraph"/>
              <w:numPr>
                <w:ilvl w:val="0"/>
                <w:numId w:val="1"/>
              </w:numPr>
              <w:spacing w:after="120"/>
              <w:ind w:left="241" w:hanging="241"/>
              <w:contextualSpacing w:val="0"/>
            </w:pPr>
            <w:r>
              <w:t>Design</w:t>
            </w:r>
          </w:p>
        </w:tc>
      </w:tr>
      <w:tr w:rsidR="00143492" w14:paraId="0DEC55B1" w14:textId="77777777" w:rsidTr="008E41D3">
        <w:trPr>
          <w:cantSplit/>
        </w:trPr>
        <w:tc>
          <w:tcPr>
            <w:tcW w:w="1440" w:type="dxa"/>
          </w:tcPr>
          <w:p w14:paraId="17D9707B" w14:textId="77777777" w:rsidR="00830BE8" w:rsidRDefault="00830BE8" w:rsidP="006F15B1">
            <w:pPr>
              <w:spacing w:after="120"/>
              <w:rPr>
                <w:b/>
              </w:rPr>
            </w:pPr>
            <w:r>
              <w:rPr>
                <w:b/>
              </w:rPr>
              <w:t>Examples</w:t>
            </w:r>
          </w:p>
        </w:tc>
        <w:tc>
          <w:tcPr>
            <w:tcW w:w="2880" w:type="dxa"/>
          </w:tcPr>
          <w:p w14:paraId="0BBCCA4C" w14:textId="77777777" w:rsidR="006A3F72" w:rsidRPr="00D95125" w:rsidRDefault="006A3F72" w:rsidP="006F15B1">
            <w:pPr>
              <w:spacing w:after="120"/>
            </w:pPr>
            <w:r>
              <w:t>Coca-Cola secret recipe</w:t>
            </w:r>
          </w:p>
        </w:tc>
        <w:tc>
          <w:tcPr>
            <w:tcW w:w="2880" w:type="dxa"/>
          </w:tcPr>
          <w:p w14:paraId="64A96E25" w14:textId="77777777" w:rsidR="00830BE8" w:rsidRDefault="006A3F72" w:rsidP="006F15B1">
            <w:pPr>
              <w:spacing w:after="120"/>
            </w:pPr>
            <w:r>
              <w:t>Google</w:t>
            </w:r>
          </w:p>
          <w:p w14:paraId="52F3658B" w14:textId="77777777" w:rsidR="006A3F72" w:rsidRDefault="006A3F72" w:rsidP="006F15B1">
            <w:pPr>
              <w:spacing w:after="120"/>
            </w:pPr>
          </w:p>
          <w:p w14:paraId="5E8B791C" w14:textId="77777777" w:rsidR="006A3F72" w:rsidRDefault="006A3F72" w:rsidP="006F15B1">
            <w:pPr>
              <w:spacing w:after="120"/>
            </w:pPr>
            <w:r>
              <w:t>Just Do It</w:t>
            </w:r>
          </w:p>
          <w:p w14:paraId="27B20B6E" w14:textId="77777777" w:rsidR="006A3F72" w:rsidRDefault="006A3F72" w:rsidP="006F15B1">
            <w:pPr>
              <w:spacing w:after="120"/>
            </w:pPr>
          </w:p>
          <w:p w14:paraId="746D2FC8" w14:textId="77777777" w:rsidR="006A3F72" w:rsidRPr="00D95125" w:rsidRDefault="006A3F72" w:rsidP="006F15B1">
            <w:pPr>
              <w:spacing w:after="120"/>
            </w:pPr>
            <w:r w:rsidRPr="006A3F72">
              <w:rPr>
                <w:noProof/>
              </w:rPr>
              <w:drawing>
                <wp:inline distT="0" distB="0" distL="0" distR="0" wp14:anchorId="1C57AC32" wp14:editId="6A75B475">
                  <wp:extent cx="609600" cy="596249"/>
                  <wp:effectExtent l="0" t="0" r="0" b="127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870" cy="620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</w:tcPr>
          <w:p w14:paraId="1BCF0E09" w14:textId="77777777" w:rsidR="00830BE8" w:rsidRDefault="001B4626" w:rsidP="006F15B1">
            <w:pPr>
              <w:spacing w:after="120"/>
            </w:pPr>
            <w:r>
              <w:t>To Kill A Mockingbird</w:t>
            </w:r>
          </w:p>
          <w:p w14:paraId="715A24D7" w14:textId="77777777" w:rsidR="001B4626" w:rsidRDefault="001B4626" w:rsidP="006F15B1">
            <w:pPr>
              <w:spacing w:after="120"/>
            </w:pPr>
          </w:p>
          <w:p w14:paraId="2A444770" w14:textId="77777777" w:rsidR="001B4626" w:rsidRPr="00D95125" w:rsidRDefault="00F07938" w:rsidP="006F15B1">
            <w:pPr>
              <w:spacing w:after="120"/>
            </w:pPr>
            <w:r>
              <w:t>Images in a video game</w:t>
            </w:r>
          </w:p>
        </w:tc>
        <w:tc>
          <w:tcPr>
            <w:tcW w:w="2880" w:type="dxa"/>
          </w:tcPr>
          <w:p w14:paraId="18756CEE" w14:textId="77777777" w:rsidR="00830BE8" w:rsidRDefault="00D757DA" w:rsidP="006F15B1">
            <w:pPr>
              <w:spacing w:after="120"/>
            </w:pPr>
            <w:r>
              <w:t>Harness for attaching a camera to your body (GoPro)</w:t>
            </w:r>
          </w:p>
          <w:p w14:paraId="6BE0A6BF" w14:textId="77777777" w:rsidR="00D757DA" w:rsidRDefault="00D757DA" w:rsidP="006F15B1">
            <w:pPr>
              <w:spacing w:after="120"/>
            </w:pPr>
          </w:p>
          <w:p w14:paraId="2469E7BF" w14:textId="77777777" w:rsidR="00D757DA" w:rsidRPr="00D95125" w:rsidRDefault="00D757DA" w:rsidP="006F15B1">
            <w:pPr>
              <w:spacing w:after="120"/>
            </w:pPr>
            <w:r>
              <w:t>Network folder synchronization (Dropbox)</w:t>
            </w:r>
          </w:p>
        </w:tc>
      </w:tr>
      <w:tr w:rsidR="00143492" w14:paraId="3F1C9EE5" w14:textId="77777777" w:rsidTr="008E41D3">
        <w:trPr>
          <w:cantSplit/>
        </w:trPr>
        <w:tc>
          <w:tcPr>
            <w:tcW w:w="1440" w:type="dxa"/>
          </w:tcPr>
          <w:p w14:paraId="3EA02FD5" w14:textId="77777777" w:rsidR="00AB41CA" w:rsidRDefault="00AE2E1D" w:rsidP="006F15B1">
            <w:pPr>
              <w:spacing w:after="120"/>
              <w:rPr>
                <w:b/>
              </w:rPr>
            </w:pPr>
            <w:r>
              <w:rPr>
                <w:b/>
              </w:rPr>
              <w:t>Criteria for protection</w:t>
            </w:r>
          </w:p>
        </w:tc>
        <w:tc>
          <w:tcPr>
            <w:tcW w:w="2880" w:type="dxa"/>
          </w:tcPr>
          <w:p w14:paraId="2257D1A0" w14:textId="77777777" w:rsidR="00AB41CA" w:rsidRDefault="009751AA" w:rsidP="006F15B1">
            <w:pPr>
              <w:pStyle w:val="ListParagraph"/>
              <w:numPr>
                <w:ilvl w:val="0"/>
                <w:numId w:val="2"/>
              </w:numPr>
              <w:spacing w:after="120"/>
              <w:ind w:left="267" w:hanging="270"/>
              <w:contextualSpacing w:val="0"/>
            </w:pPr>
            <w:r>
              <w:t>Information that is (a) confidential &amp; (b) valuable to your business</w:t>
            </w:r>
          </w:p>
          <w:p w14:paraId="1E11B966" w14:textId="77777777" w:rsidR="009751AA" w:rsidRPr="00D95125" w:rsidRDefault="009751AA" w:rsidP="006F15B1">
            <w:pPr>
              <w:pStyle w:val="ListParagraph"/>
              <w:numPr>
                <w:ilvl w:val="0"/>
                <w:numId w:val="2"/>
              </w:numPr>
              <w:spacing w:after="120"/>
              <w:ind w:left="267" w:hanging="270"/>
              <w:contextualSpacing w:val="0"/>
            </w:pPr>
            <w:r>
              <w:t>Efforts to keep the information confidential</w:t>
            </w:r>
          </w:p>
        </w:tc>
        <w:tc>
          <w:tcPr>
            <w:tcW w:w="2880" w:type="dxa"/>
          </w:tcPr>
          <w:p w14:paraId="29024277" w14:textId="77777777" w:rsidR="002961DB" w:rsidRDefault="002961DB" w:rsidP="006F15B1">
            <w:pPr>
              <w:pStyle w:val="ListParagraph"/>
              <w:numPr>
                <w:ilvl w:val="0"/>
                <w:numId w:val="2"/>
              </w:numPr>
              <w:spacing w:after="120"/>
              <w:ind w:left="292" w:hanging="292"/>
              <w:contextualSpacing w:val="0"/>
            </w:pPr>
            <w:r>
              <w:t>Distinctive – not generic or descriptive</w:t>
            </w:r>
          </w:p>
          <w:p w14:paraId="56BCA2D9" w14:textId="77777777" w:rsidR="002961DB" w:rsidRDefault="00DE366D" w:rsidP="006F15B1">
            <w:pPr>
              <w:pStyle w:val="ListParagraph"/>
              <w:numPr>
                <w:ilvl w:val="0"/>
                <w:numId w:val="2"/>
              </w:numPr>
              <w:spacing w:after="120"/>
              <w:ind w:left="292" w:hanging="292"/>
              <w:contextualSpacing w:val="0"/>
            </w:pPr>
            <w:r>
              <w:t>Identifies the source of the product or service</w:t>
            </w:r>
          </w:p>
          <w:p w14:paraId="1DC053F3" w14:textId="77777777" w:rsidR="00DE366D" w:rsidRPr="00D95125" w:rsidRDefault="00DE366D" w:rsidP="006F15B1">
            <w:pPr>
              <w:pStyle w:val="ListParagraph"/>
              <w:numPr>
                <w:ilvl w:val="0"/>
                <w:numId w:val="2"/>
              </w:numPr>
              <w:spacing w:after="120"/>
              <w:ind w:left="292" w:hanging="292"/>
              <w:contextualSpacing w:val="0"/>
            </w:pPr>
            <w:r>
              <w:t>Used in business</w:t>
            </w:r>
          </w:p>
        </w:tc>
        <w:tc>
          <w:tcPr>
            <w:tcW w:w="2880" w:type="dxa"/>
          </w:tcPr>
          <w:p w14:paraId="76614114" w14:textId="77777777" w:rsidR="00AB41CA" w:rsidRDefault="000B1A8C" w:rsidP="006F15B1">
            <w:pPr>
              <w:pStyle w:val="ListParagraph"/>
              <w:numPr>
                <w:ilvl w:val="0"/>
                <w:numId w:val="2"/>
              </w:numPr>
              <w:spacing w:after="120"/>
              <w:ind w:left="307" w:hanging="307"/>
              <w:contextualSpacing w:val="0"/>
            </w:pPr>
            <w:r>
              <w:t>Original (new)</w:t>
            </w:r>
          </w:p>
          <w:p w14:paraId="0C0A9820" w14:textId="77777777" w:rsidR="000B1A8C" w:rsidRDefault="000B1A8C" w:rsidP="006F15B1">
            <w:pPr>
              <w:pStyle w:val="ListParagraph"/>
              <w:numPr>
                <w:ilvl w:val="0"/>
                <w:numId w:val="2"/>
              </w:numPr>
              <w:spacing w:after="120"/>
              <w:ind w:left="307" w:hanging="307"/>
              <w:contextualSpacing w:val="0"/>
            </w:pPr>
            <w:r>
              <w:t>Creative (not merely a recitation of facts)</w:t>
            </w:r>
          </w:p>
          <w:p w14:paraId="0D7AC0D8" w14:textId="77777777" w:rsidR="000B1A8C" w:rsidRPr="00D95125" w:rsidRDefault="000B1A8C" w:rsidP="006F15B1">
            <w:pPr>
              <w:pStyle w:val="ListParagraph"/>
              <w:numPr>
                <w:ilvl w:val="0"/>
                <w:numId w:val="2"/>
              </w:numPr>
              <w:spacing w:after="120"/>
              <w:ind w:left="307" w:hanging="307"/>
              <w:contextualSpacing w:val="0"/>
            </w:pPr>
            <w:r>
              <w:t>“Fixed in a tangible medium of expression” (e.g., writing, music, art)</w:t>
            </w:r>
            <w:r w:rsidR="00BC7646">
              <w:t xml:space="preserve"> – copyright protects the mode of expression, not the underlying ideas</w:t>
            </w:r>
          </w:p>
        </w:tc>
        <w:tc>
          <w:tcPr>
            <w:tcW w:w="2880" w:type="dxa"/>
          </w:tcPr>
          <w:p w14:paraId="3944E14E" w14:textId="77777777" w:rsidR="00AB41CA" w:rsidRPr="00B143BA" w:rsidRDefault="000B1A8C" w:rsidP="006F15B1">
            <w:pPr>
              <w:pStyle w:val="ListParagraph"/>
              <w:numPr>
                <w:ilvl w:val="0"/>
                <w:numId w:val="2"/>
              </w:numPr>
              <w:spacing w:after="120"/>
              <w:ind w:left="241" w:hanging="241"/>
              <w:contextualSpacing w:val="0"/>
            </w:pPr>
            <w:r w:rsidRPr="00B143BA">
              <w:t>New</w:t>
            </w:r>
          </w:p>
          <w:p w14:paraId="22844814" w14:textId="77777777" w:rsidR="00EE60BC" w:rsidRPr="00B143BA" w:rsidRDefault="00EE60BC" w:rsidP="006F15B1">
            <w:pPr>
              <w:pStyle w:val="ListParagraph"/>
              <w:numPr>
                <w:ilvl w:val="0"/>
                <w:numId w:val="2"/>
              </w:numPr>
              <w:spacing w:after="120"/>
              <w:ind w:left="241" w:hanging="241"/>
              <w:contextualSpacing w:val="0"/>
            </w:pPr>
            <w:r w:rsidRPr="00B143BA">
              <w:t>Non-obvious</w:t>
            </w:r>
          </w:p>
          <w:p w14:paraId="47CDD978" w14:textId="77777777" w:rsidR="00EE60BC" w:rsidRPr="00B143BA" w:rsidRDefault="00EE60BC" w:rsidP="006F15B1">
            <w:pPr>
              <w:pStyle w:val="ListParagraph"/>
              <w:numPr>
                <w:ilvl w:val="0"/>
                <w:numId w:val="2"/>
              </w:numPr>
              <w:spacing w:after="120"/>
              <w:ind w:left="241" w:hanging="241"/>
              <w:contextualSpacing w:val="0"/>
            </w:pPr>
            <w:r w:rsidRPr="00B143BA">
              <w:t>Useful</w:t>
            </w:r>
            <w:r w:rsidR="00125933" w:rsidRPr="00B143BA">
              <w:t xml:space="preserve"> (for a utility patent)</w:t>
            </w:r>
          </w:p>
        </w:tc>
      </w:tr>
      <w:tr w:rsidR="00143492" w14:paraId="1549454D" w14:textId="77777777" w:rsidTr="008E41D3">
        <w:trPr>
          <w:cantSplit/>
        </w:trPr>
        <w:tc>
          <w:tcPr>
            <w:tcW w:w="1440" w:type="dxa"/>
          </w:tcPr>
          <w:p w14:paraId="480889E9" w14:textId="77777777" w:rsidR="00AB41CA" w:rsidRDefault="00D95125" w:rsidP="006F15B1">
            <w:pPr>
              <w:spacing w:after="120"/>
              <w:rPr>
                <w:b/>
              </w:rPr>
            </w:pPr>
            <w:r>
              <w:rPr>
                <w:b/>
              </w:rPr>
              <w:lastRenderedPageBreak/>
              <w:t>Period of protection</w:t>
            </w:r>
          </w:p>
        </w:tc>
        <w:tc>
          <w:tcPr>
            <w:tcW w:w="2880" w:type="dxa"/>
          </w:tcPr>
          <w:p w14:paraId="0A9F9DDE" w14:textId="77777777" w:rsidR="00AB41CA" w:rsidRPr="00D95125" w:rsidRDefault="009F3CC8" w:rsidP="006F15B1">
            <w:pPr>
              <w:spacing w:after="120"/>
            </w:pPr>
            <w:r>
              <w:t>U</w:t>
            </w:r>
            <w:r w:rsidR="00F02A63">
              <w:t>ntil information is no longer secret</w:t>
            </w:r>
          </w:p>
        </w:tc>
        <w:tc>
          <w:tcPr>
            <w:tcW w:w="2880" w:type="dxa"/>
          </w:tcPr>
          <w:p w14:paraId="2878088B" w14:textId="77777777" w:rsidR="00AB41CA" w:rsidRPr="00D95125" w:rsidRDefault="00F02A63" w:rsidP="006F15B1">
            <w:pPr>
              <w:spacing w:after="120"/>
            </w:pPr>
            <w:r>
              <w:t>U</w:t>
            </w:r>
            <w:r w:rsidR="008A2F5A">
              <w:t>ntil trademark is no longer used in business or enforced</w:t>
            </w:r>
          </w:p>
        </w:tc>
        <w:tc>
          <w:tcPr>
            <w:tcW w:w="2880" w:type="dxa"/>
          </w:tcPr>
          <w:p w14:paraId="1FEC8D7F" w14:textId="77777777" w:rsidR="00AB41CA" w:rsidRPr="00D95125" w:rsidRDefault="00A46B68" w:rsidP="006F15B1">
            <w:pPr>
              <w:spacing w:after="120"/>
            </w:pPr>
            <w:r>
              <w:t>Generally, l</w:t>
            </w:r>
            <w:r w:rsidR="00840C24">
              <w:t>ife of creator + 70 years</w:t>
            </w:r>
          </w:p>
        </w:tc>
        <w:tc>
          <w:tcPr>
            <w:tcW w:w="2880" w:type="dxa"/>
          </w:tcPr>
          <w:p w14:paraId="50FD022C" w14:textId="77777777" w:rsidR="00AB41CA" w:rsidRPr="00D95125" w:rsidRDefault="00A46B68" w:rsidP="006F15B1">
            <w:pPr>
              <w:spacing w:after="120"/>
            </w:pPr>
            <w:r>
              <w:t>20 years from application filing date (14 years for design patents)</w:t>
            </w:r>
          </w:p>
        </w:tc>
      </w:tr>
      <w:tr w:rsidR="00143492" w14:paraId="66B334BF" w14:textId="77777777" w:rsidTr="008E41D3">
        <w:trPr>
          <w:cantSplit/>
        </w:trPr>
        <w:tc>
          <w:tcPr>
            <w:tcW w:w="1440" w:type="dxa"/>
          </w:tcPr>
          <w:p w14:paraId="36F4635B" w14:textId="77777777" w:rsidR="00D875E5" w:rsidRDefault="00D875E5" w:rsidP="006F15B1">
            <w:pPr>
              <w:spacing w:after="120"/>
              <w:rPr>
                <w:b/>
              </w:rPr>
            </w:pPr>
            <w:r>
              <w:rPr>
                <w:b/>
              </w:rPr>
              <w:t>How to protect</w:t>
            </w:r>
          </w:p>
        </w:tc>
        <w:tc>
          <w:tcPr>
            <w:tcW w:w="2880" w:type="dxa"/>
          </w:tcPr>
          <w:p w14:paraId="58945F5E" w14:textId="77777777" w:rsidR="00D875E5" w:rsidRDefault="003C23C7" w:rsidP="006F15B1">
            <w:pPr>
              <w:spacing w:after="120"/>
            </w:pPr>
            <w:r>
              <w:t>By actively keeping the information confidential</w:t>
            </w:r>
            <w:r w:rsidR="00E42E19">
              <w:t xml:space="preserve"> – it is a trade secret until it is no longer secret</w:t>
            </w:r>
          </w:p>
        </w:tc>
        <w:tc>
          <w:tcPr>
            <w:tcW w:w="2880" w:type="dxa"/>
          </w:tcPr>
          <w:p w14:paraId="4F1B73A9" w14:textId="77777777" w:rsidR="00143492" w:rsidRDefault="00143492" w:rsidP="00143492">
            <w:pPr>
              <w:pStyle w:val="ListParagraph"/>
              <w:numPr>
                <w:ilvl w:val="0"/>
                <w:numId w:val="8"/>
              </w:numPr>
              <w:spacing w:after="120"/>
              <w:ind w:left="235" w:hanging="235"/>
            </w:pPr>
            <w:r>
              <w:t>By actively using your brand or company name/logo in commerce</w:t>
            </w:r>
          </w:p>
          <w:p w14:paraId="6B31046A" w14:textId="77777777" w:rsidR="00D875E5" w:rsidRDefault="00D4304D" w:rsidP="00143492">
            <w:pPr>
              <w:pStyle w:val="ListParagraph"/>
              <w:numPr>
                <w:ilvl w:val="0"/>
                <w:numId w:val="8"/>
              </w:numPr>
              <w:spacing w:after="120"/>
              <w:ind w:left="235" w:hanging="235"/>
            </w:pPr>
            <w:r>
              <w:t xml:space="preserve">Registration is not required for protection, but registration with the U.S. Patent and Trademark Office (PTO) </w:t>
            </w:r>
            <w:r w:rsidR="00B165CB">
              <w:t>does make it easier to enforce your rights and easier for potential competitors to find your trademark</w:t>
            </w:r>
          </w:p>
        </w:tc>
        <w:tc>
          <w:tcPr>
            <w:tcW w:w="2880" w:type="dxa"/>
          </w:tcPr>
          <w:p w14:paraId="52835789" w14:textId="77777777" w:rsidR="00D37C4E" w:rsidRDefault="00341D82" w:rsidP="00341D82">
            <w:pPr>
              <w:pStyle w:val="ListParagraph"/>
              <w:numPr>
                <w:ilvl w:val="0"/>
                <w:numId w:val="7"/>
              </w:numPr>
              <w:spacing w:after="120"/>
              <w:ind w:left="276" w:hanging="276"/>
              <w:contextualSpacing w:val="0"/>
            </w:pPr>
            <w:r>
              <w:t>Copyright attaches automatically to copyrightable works</w:t>
            </w:r>
          </w:p>
          <w:p w14:paraId="13C1F485" w14:textId="77777777" w:rsidR="00D875E5" w:rsidRDefault="00D37C4E" w:rsidP="00341D82">
            <w:pPr>
              <w:pStyle w:val="ListParagraph"/>
              <w:numPr>
                <w:ilvl w:val="0"/>
                <w:numId w:val="7"/>
              </w:numPr>
              <w:spacing w:after="120"/>
              <w:ind w:left="276" w:hanging="276"/>
              <w:contextualSpacing w:val="0"/>
            </w:pPr>
            <w:r>
              <w:t xml:space="preserve">However, registering your copyright with the U.S. Copyright Office does give you the right to sue for </w:t>
            </w:r>
            <w:r w:rsidR="003A4574">
              <w:t>infringement (the perceived downside being that registration requires publicizing your work)</w:t>
            </w:r>
          </w:p>
        </w:tc>
        <w:tc>
          <w:tcPr>
            <w:tcW w:w="2880" w:type="dxa"/>
          </w:tcPr>
          <w:p w14:paraId="12CE4C50" w14:textId="77777777" w:rsidR="00D875E5" w:rsidRDefault="006A718F" w:rsidP="006F15B1">
            <w:pPr>
              <w:pStyle w:val="ListParagraph"/>
              <w:numPr>
                <w:ilvl w:val="0"/>
                <w:numId w:val="6"/>
              </w:numPr>
              <w:spacing w:after="120"/>
              <w:ind w:left="275" w:hanging="275"/>
              <w:contextualSpacing w:val="0"/>
            </w:pPr>
            <w:r>
              <w:t>By filing a patent application</w:t>
            </w:r>
            <w:r w:rsidR="00964765">
              <w:t xml:space="preserve"> no later than 1 year after you disclose your invention</w:t>
            </w:r>
            <w:r w:rsidR="00412B0C">
              <w:t xml:space="preserve">, and waiting for the government to decide whether or not to grant </w:t>
            </w:r>
            <w:r w:rsidR="00BC0689">
              <w:t>the requested</w:t>
            </w:r>
            <w:r w:rsidR="00412B0C">
              <w:t xml:space="preserve"> patent </w:t>
            </w:r>
          </w:p>
          <w:p w14:paraId="0F52632B" w14:textId="77777777" w:rsidR="00964765" w:rsidRDefault="00964765" w:rsidP="006F15B1">
            <w:pPr>
              <w:pStyle w:val="ListParagraph"/>
              <w:numPr>
                <w:ilvl w:val="0"/>
                <w:numId w:val="6"/>
              </w:numPr>
              <w:spacing w:after="120"/>
              <w:ind w:left="275" w:hanging="275"/>
              <w:contextualSpacing w:val="0"/>
            </w:pPr>
            <w:r>
              <w:t>A provisional patent application is less cumbersome &amp; expensive, and it essentially serves as a placeholder while you prepare the full application</w:t>
            </w:r>
          </w:p>
        </w:tc>
      </w:tr>
      <w:tr w:rsidR="00143492" w14:paraId="1B2759D3" w14:textId="77777777" w:rsidTr="008E41D3">
        <w:trPr>
          <w:cantSplit/>
        </w:trPr>
        <w:tc>
          <w:tcPr>
            <w:tcW w:w="1440" w:type="dxa"/>
          </w:tcPr>
          <w:p w14:paraId="03FB7236" w14:textId="77777777" w:rsidR="00AB41CA" w:rsidRDefault="00EC6544" w:rsidP="006F15B1">
            <w:pPr>
              <w:spacing w:after="120"/>
              <w:rPr>
                <w:b/>
              </w:rPr>
            </w:pPr>
            <w:r>
              <w:rPr>
                <w:b/>
              </w:rPr>
              <w:lastRenderedPageBreak/>
              <w:t xml:space="preserve">Practical advice </w:t>
            </w:r>
          </w:p>
        </w:tc>
        <w:tc>
          <w:tcPr>
            <w:tcW w:w="2880" w:type="dxa"/>
          </w:tcPr>
          <w:p w14:paraId="60592787" w14:textId="77777777" w:rsidR="00AB41CA" w:rsidRPr="00D95125" w:rsidRDefault="00EC6544" w:rsidP="006F15B1">
            <w:pPr>
              <w:spacing w:after="120"/>
            </w:pPr>
            <w:r>
              <w:t>Use NDAs and non-competes to provide evidence of efforts to maintain confidentiality</w:t>
            </w:r>
          </w:p>
        </w:tc>
        <w:tc>
          <w:tcPr>
            <w:tcW w:w="2880" w:type="dxa"/>
          </w:tcPr>
          <w:p w14:paraId="574E62CC" w14:textId="77777777" w:rsidR="00AB41CA" w:rsidRDefault="00EC6544" w:rsidP="006F15B1">
            <w:pPr>
              <w:pStyle w:val="ListParagraph"/>
              <w:numPr>
                <w:ilvl w:val="0"/>
                <w:numId w:val="7"/>
              </w:numPr>
              <w:spacing w:after="120"/>
              <w:ind w:left="225" w:hanging="225"/>
              <w:contextualSpacing w:val="0"/>
            </w:pPr>
            <w:r>
              <w:t>Engage legal counsel to do a thorough trademark search</w:t>
            </w:r>
            <w:r w:rsidR="001C029F">
              <w:t xml:space="preserve"> (beyond the PTO trademark database)</w:t>
            </w:r>
            <w:r>
              <w:t xml:space="preserve"> before investing in a trademark</w:t>
            </w:r>
          </w:p>
          <w:p w14:paraId="75311681" w14:textId="77777777" w:rsidR="001C029F" w:rsidRPr="00D95125" w:rsidRDefault="001C029F" w:rsidP="006F15B1">
            <w:pPr>
              <w:pStyle w:val="ListParagraph"/>
              <w:numPr>
                <w:ilvl w:val="0"/>
                <w:numId w:val="7"/>
              </w:numPr>
              <w:spacing w:after="120"/>
              <w:ind w:left="225" w:hanging="225"/>
              <w:contextualSpacing w:val="0"/>
            </w:pPr>
            <w:r>
              <w:t>Enforce your trademark: regularly check for infringement by others</w:t>
            </w:r>
          </w:p>
        </w:tc>
        <w:tc>
          <w:tcPr>
            <w:tcW w:w="2880" w:type="dxa"/>
          </w:tcPr>
          <w:p w14:paraId="7739505D" w14:textId="77777777" w:rsidR="00AB41CA" w:rsidRDefault="004545C8" w:rsidP="006F15B1">
            <w:pPr>
              <w:pStyle w:val="ListParagraph"/>
              <w:numPr>
                <w:ilvl w:val="0"/>
                <w:numId w:val="7"/>
              </w:numPr>
              <w:spacing w:after="120"/>
              <w:ind w:left="313" w:hanging="313"/>
              <w:contextualSpacing w:val="0"/>
            </w:pPr>
            <w:r>
              <w:t xml:space="preserve">Be wary of using materials (e.g., images) found online – check </w:t>
            </w:r>
            <w:r w:rsidR="00ED02F2">
              <w:t>license</w:t>
            </w:r>
            <w:r>
              <w:t xml:space="preserve"> restrictions</w:t>
            </w:r>
          </w:p>
          <w:p w14:paraId="6CCD0993" w14:textId="77777777" w:rsidR="00D62C78" w:rsidRPr="00D95125" w:rsidRDefault="00D62C78" w:rsidP="006F15B1">
            <w:pPr>
              <w:pStyle w:val="ListParagraph"/>
              <w:numPr>
                <w:ilvl w:val="0"/>
                <w:numId w:val="7"/>
              </w:numPr>
              <w:spacing w:after="120"/>
              <w:ind w:left="313" w:hanging="313"/>
              <w:contextualSpacing w:val="0"/>
            </w:pPr>
            <w:r>
              <w:t>Require independent contractors to assign all copyright produced in the scope of their work to the business</w:t>
            </w:r>
            <w:r w:rsidR="00E4465A">
              <w:t xml:space="preserve"> (copyright produced by employees is deemed to be produced for the business)</w:t>
            </w:r>
          </w:p>
        </w:tc>
        <w:tc>
          <w:tcPr>
            <w:tcW w:w="2880" w:type="dxa"/>
          </w:tcPr>
          <w:p w14:paraId="10F54E1B" w14:textId="77777777" w:rsidR="004545C8" w:rsidRDefault="004545C8" w:rsidP="006F15B1">
            <w:pPr>
              <w:pStyle w:val="ListParagraph"/>
              <w:numPr>
                <w:ilvl w:val="0"/>
                <w:numId w:val="6"/>
              </w:numPr>
              <w:spacing w:after="120"/>
              <w:ind w:left="275" w:hanging="275"/>
              <w:contextualSpacing w:val="0"/>
            </w:pPr>
            <w:r>
              <w:t>Avoid public disclosure</w:t>
            </w:r>
            <w:r w:rsidR="00870E83">
              <w:t xml:space="preserve"> – if you do disclose your invention, file your patent application within 1 year of the disclosure</w:t>
            </w:r>
            <w:r w:rsidR="00484D2A">
              <w:t xml:space="preserve"> – if more than 1 year has passed, the invention is deemed to be no longer new and therefore is not patentable</w:t>
            </w:r>
          </w:p>
          <w:p w14:paraId="2DC22578" w14:textId="77777777" w:rsidR="00870E83" w:rsidRDefault="00870E83" w:rsidP="006F15B1">
            <w:pPr>
              <w:pStyle w:val="ListParagraph"/>
              <w:numPr>
                <w:ilvl w:val="0"/>
                <w:numId w:val="6"/>
              </w:numPr>
              <w:spacing w:after="120"/>
              <w:ind w:left="275" w:hanging="275"/>
              <w:contextualSpacing w:val="0"/>
            </w:pPr>
            <w:r>
              <w:t>Use provisional applications strategically</w:t>
            </w:r>
            <w:r w:rsidR="009E1A78">
              <w:t xml:space="preserve"> – file early to establish an earlier filing date (to get in line first), which will last for 12 months</w:t>
            </w:r>
          </w:p>
          <w:p w14:paraId="0C244743" w14:textId="77777777" w:rsidR="00AB41CA" w:rsidRDefault="00870E83" w:rsidP="006F15B1">
            <w:pPr>
              <w:pStyle w:val="ListParagraph"/>
              <w:numPr>
                <w:ilvl w:val="0"/>
                <w:numId w:val="6"/>
              </w:numPr>
              <w:spacing w:after="120"/>
              <w:ind w:left="275" w:hanging="275"/>
              <w:contextualSpacing w:val="0"/>
            </w:pPr>
            <w:r>
              <w:t>Application requires full disclosure – this is the “price” for obtaining a patent</w:t>
            </w:r>
          </w:p>
          <w:p w14:paraId="66CE8092" w14:textId="77777777" w:rsidR="00E4465A" w:rsidRPr="00D95125" w:rsidRDefault="00E4465A" w:rsidP="006F15B1">
            <w:pPr>
              <w:pStyle w:val="ListParagraph"/>
              <w:numPr>
                <w:ilvl w:val="0"/>
                <w:numId w:val="6"/>
              </w:numPr>
              <w:spacing w:after="120"/>
              <w:ind w:left="275" w:hanging="275"/>
              <w:contextualSpacing w:val="0"/>
            </w:pPr>
            <w:r>
              <w:t>Require employees &amp; independent contractors to assign all copyright produced in the scope of their work to the business</w:t>
            </w:r>
          </w:p>
        </w:tc>
      </w:tr>
      <w:tr w:rsidR="00143492" w14:paraId="49BC68E7" w14:textId="77777777" w:rsidTr="008E41D3">
        <w:trPr>
          <w:cantSplit/>
        </w:trPr>
        <w:tc>
          <w:tcPr>
            <w:tcW w:w="1440" w:type="dxa"/>
          </w:tcPr>
          <w:p w14:paraId="4FADC5FF" w14:textId="77777777" w:rsidR="00D95125" w:rsidRDefault="00D95125" w:rsidP="006F15B1">
            <w:pPr>
              <w:spacing w:after="120"/>
              <w:rPr>
                <w:b/>
              </w:rPr>
            </w:pPr>
            <w:r>
              <w:rPr>
                <w:b/>
              </w:rPr>
              <w:lastRenderedPageBreak/>
              <w:t>Costs</w:t>
            </w:r>
          </w:p>
        </w:tc>
        <w:tc>
          <w:tcPr>
            <w:tcW w:w="2880" w:type="dxa"/>
          </w:tcPr>
          <w:p w14:paraId="5891B960" w14:textId="77777777" w:rsidR="00D95125" w:rsidRPr="00D95125" w:rsidRDefault="003021E4" w:rsidP="006F15B1">
            <w:pPr>
              <w:spacing w:after="120"/>
            </w:pPr>
            <w:r>
              <w:t>None, except costs of maintaining secrecy</w:t>
            </w:r>
          </w:p>
        </w:tc>
        <w:tc>
          <w:tcPr>
            <w:tcW w:w="2880" w:type="dxa"/>
          </w:tcPr>
          <w:p w14:paraId="69818DBC" w14:textId="77777777" w:rsidR="00D95125" w:rsidRDefault="003021E4" w:rsidP="006F15B1">
            <w:pPr>
              <w:pStyle w:val="ListParagraph"/>
              <w:numPr>
                <w:ilvl w:val="0"/>
                <w:numId w:val="3"/>
              </w:numPr>
              <w:spacing w:after="120"/>
              <w:ind w:left="374" w:hanging="374"/>
              <w:contextualSpacing w:val="0"/>
            </w:pPr>
            <w:r>
              <w:t>Initial r</w:t>
            </w:r>
            <w:r w:rsidR="007C2062">
              <w:t>egistration filing fee</w:t>
            </w:r>
            <w:r>
              <w:t xml:space="preserve"> ($225-$400 per class of goods &amp; services being registered)</w:t>
            </w:r>
          </w:p>
          <w:p w14:paraId="2A275AC9" w14:textId="77777777" w:rsidR="003021E4" w:rsidRDefault="003021E4" w:rsidP="006F15B1">
            <w:pPr>
              <w:pStyle w:val="ListParagraph"/>
              <w:numPr>
                <w:ilvl w:val="0"/>
                <w:numId w:val="3"/>
              </w:numPr>
              <w:spacing w:after="120"/>
              <w:ind w:left="374" w:hanging="374"/>
              <w:contextualSpacing w:val="0"/>
            </w:pPr>
            <w:r>
              <w:t>Possibly, legal fees associated with performing trademark searches and other related services</w:t>
            </w:r>
          </w:p>
          <w:p w14:paraId="42D2A3AA" w14:textId="77777777" w:rsidR="008B25FF" w:rsidRPr="00D95125" w:rsidRDefault="008B25FF" w:rsidP="006F15B1">
            <w:pPr>
              <w:pStyle w:val="ListParagraph"/>
              <w:numPr>
                <w:ilvl w:val="0"/>
                <w:numId w:val="3"/>
              </w:numPr>
              <w:spacing w:after="120"/>
              <w:ind w:left="374" w:hanging="374"/>
              <w:contextualSpacing w:val="0"/>
            </w:pPr>
            <w:r>
              <w:t xml:space="preserve">Small registration maintenance fees </w:t>
            </w:r>
            <w:r w:rsidR="00380169">
              <w:t>(5-6 years after initial filing, 9-10 years after initial filing, and then every 10 years thereafter)</w:t>
            </w:r>
          </w:p>
        </w:tc>
        <w:tc>
          <w:tcPr>
            <w:tcW w:w="2880" w:type="dxa"/>
          </w:tcPr>
          <w:p w14:paraId="25DD9803" w14:textId="77777777" w:rsidR="00D95125" w:rsidRPr="00D95125" w:rsidRDefault="008E6780" w:rsidP="006F15B1">
            <w:pPr>
              <w:spacing w:after="120"/>
            </w:pPr>
            <w:r>
              <w:t xml:space="preserve">Registration </w:t>
            </w:r>
            <w:r w:rsidR="007C2062">
              <w:t>filing fee</w:t>
            </w:r>
            <w:r>
              <w:t xml:space="preserve"> (&lt;$100)</w:t>
            </w:r>
          </w:p>
        </w:tc>
        <w:tc>
          <w:tcPr>
            <w:tcW w:w="2880" w:type="dxa"/>
          </w:tcPr>
          <w:p w14:paraId="411D6A1B" w14:textId="77777777" w:rsidR="00043F03" w:rsidRDefault="00BE7FD6" w:rsidP="006F15B1">
            <w:pPr>
              <w:pStyle w:val="ListParagraph"/>
              <w:numPr>
                <w:ilvl w:val="0"/>
                <w:numId w:val="4"/>
              </w:numPr>
              <w:spacing w:after="120"/>
              <w:ind w:left="369" w:hanging="369"/>
              <w:contextualSpacing w:val="0"/>
            </w:pPr>
            <w:r>
              <w:t>Initial r</w:t>
            </w:r>
            <w:r w:rsidR="008E6780">
              <w:t xml:space="preserve">egistration </w:t>
            </w:r>
            <w:r w:rsidR="00043F03">
              <w:t>filing fee</w:t>
            </w:r>
          </w:p>
          <w:p w14:paraId="207C5E6F" w14:textId="77777777" w:rsidR="00D95125" w:rsidRDefault="00043F03" w:rsidP="006F15B1">
            <w:pPr>
              <w:pStyle w:val="ListParagraph"/>
              <w:numPr>
                <w:ilvl w:val="0"/>
                <w:numId w:val="4"/>
              </w:numPr>
              <w:spacing w:after="120"/>
              <w:ind w:left="369" w:hanging="369"/>
              <w:contextualSpacing w:val="0"/>
            </w:pPr>
            <w:r>
              <w:t xml:space="preserve">Except for provisional applications, </w:t>
            </w:r>
            <w:r w:rsidR="007C2062">
              <w:t xml:space="preserve">search fee, examination fee and possible miscellaneous other fees (see </w:t>
            </w:r>
            <w:hyperlink r:id="rId8" w:history="1">
              <w:r w:rsidR="007C2062" w:rsidRPr="00753FAE">
                <w:rPr>
                  <w:rStyle w:val="Hyperlink"/>
                </w:rPr>
                <w:t>https://www.uspto.gov/learning-and-resources/fees-and-payment/uspto-fee-schedule</w:t>
              </w:r>
            </w:hyperlink>
            <w:r w:rsidR="007C2062">
              <w:t>)</w:t>
            </w:r>
          </w:p>
          <w:p w14:paraId="5E3F8CE2" w14:textId="77777777" w:rsidR="00BE7FD6" w:rsidRDefault="00BE7FD6" w:rsidP="006F15B1">
            <w:pPr>
              <w:pStyle w:val="ListParagraph"/>
              <w:numPr>
                <w:ilvl w:val="0"/>
                <w:numId w:val="4"/>
              </w:numPr>
              <w:spacing w:after="120"/>
              <w:ind w:left="369" w:hanging="369"/>
              <w:contextualSpacing w:val="0"/>
            </w:pPr>
            <w:r>
              <w:t>Registration maintenance fees for utility patents (due after 3.5 years, 7.5 years &amp; 11.5 years)</w:t>
            </w:r>
          </w:p>
          <w:p w14:paraId="470C9BA8" w14:textId="77777777" w:rsidR="008E6780" w:rsidRPr="00D95125" w:rsidRDefault="008E6780" w:rsidP="006F15B1">
            <w:pPr>
              <w:pStyle w:val="ListParagraph"/>
              <w:numPr>
                <w:ilvl w:val="0"/>
                <w:numId w:val="4"/>
              </w:numPr>
              <w:spacing w:after="120"/>
              <w:ind w:left="369" w:hanging="369"/>
              <w:contextualSpacing w:val="0"/>
            </w:pPr>
            <w:r>
              <w:t>Legal fees</w:t>
            </w:r>
            <w:r w:rsidR="00BE7FD6">
              <w:t xml:space="preserve"> associated with preparation and review of patent application</w:t>
            </w:r>
          </w:p>
        </w:tc>
      </w:tr>
    </w:tbl>
    <w:p w14:paraId="5C113CD5" w14:textId="77777777" w:rsidR="00AB41CA" w:rsidRPr="007E19A4" w:rsidRDefault="00AB41CA" w:rsidP="006F15B1">
      <w:pPr>
        <w:spacing w:after="120"/>
        <w:jc w:val="center"/>
        <w:rPr>
          <w:b/>
        </w:rPr>
      </w:pPr>
    </w:p>
    <w:sectPr w:rsidR="00AB41CA" w:rsidRPr="007E19A4" w:rsidSect="00F3047D">
      <w:footerReference w:type="even" r:id="rId9"/>
      <w:footerReference w:type="default" r:id="rId10"/>
      <w:pgSz w:w="15840" w:h="12240" w:orient="landscape"/>
      <w:pgMar w:top="1440" w:right="1440" w:bottom="1440" w:left="1440" w:header="720" w:footer="720" w:gutter="0"/>
      <w:cols w:space="720"/>
      <w:docGrid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1AC3CA" w14:textId="77777777" w:rsidR="00B521CD" w:rsidRDefault="00B521CD" w:rsidP="0014307F">
      <w:r>
        <w:separator/>
      </w:r>
    </w:p>
  </w:endnote>
  <w:endnote w:type="continuationSeparator" w:id="0">
    <w:p w14:paraId="4F22858F" w14:textId="77777777" w:rsidR="00B521CD" w:rsidRDefault="00B521CD" w:rsidP="001430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9244200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CDB2D03" w14:textId="77777777" w:rsidR="0014307F" w:rsidRDefault="0014307F" w:rsidP="00753FA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F5AD2A8" w14:textId="77777777" w:rsidR="0014307F" w:rsidRDefault="0014307F" w:rsidP="0014307F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37558587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D487B8A" w14:textId="77777777" w:rsidR="0014307F" w:rsidRDefault="0014307F" w:rsidP="00753FA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0B8522C" w14:textId="77777777" w:rsidR="0014307F" w:rsidRDefault="0014307F" w:rsidP="0014307F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A90C66" w14:textId="77777777" w:rsidR="00B521CD" w:rsidRDefault="00B521CD" w:rsidP="0014307F">
      <w:r>
        <w:separator/>
      </w:r>
    </w:p>
  </w:footnote>
  <w:footnote w:type="continuationSeparator" w:id="0">
    <w:p w14:paraId="13764A8D" w14:textId="77777777" w:rsidR="00B521CD" w:rsidRDefault="00B521CD" w:rsidP="0014307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3A1C86"/>
    <w:multiLevelType w:val="hybridMultilevel"/>
    <w:tmpl w:val="F2400C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5C0655"/>
    <w:multiLevelType w:val="hybridMultilevel"/>
    <w:tmpl w:val="43B86A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722BA8"/>
    <w:multiLevelType w:val="hybridMultilevel"/>
    <w:tmpl w:val="307C4D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B87ED3"/>
    <w:multiLevelType w:val="hybridMultilevel"/>
    <w:tmpl w:val="6BA4FF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5D32D4"/>
    <w:multiLevelType w:val="hybridMultilevel"/>
    <w:tmpl w:val="519AD2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29F6B75"/>
    <w:multiLevelType w:val="hybridMultilevel"/>
    <w:tmpl w:val="4CC47B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D662214"/>
    <w:multiLevelType w:val="hybridMultilevel"/>
    <w:tmpl w:val="04AA45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A3753AA"/>
    <w:multiLevelType w:val="hybridMultilevel"/>
    <w:tmpl w:val="BA6418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7"/>
  </w:num>
  <w:num w:numId="3">
    <w:abstractNumId w:val="6"/>
  </w:num>
  <w:num w:numId="4">
    <w:abstractNumId w:val="1"/>
  </w:num>
  <w:num w:numId="5">
    <w:abstractNumId w:val="2"/>
  </w:num>
  <w:num w:numId="6">
    <w:abstractNumId w:val="3"/>
  </w:num>
  <w:num w:numId="7">
    <w:abstractNumId w:val="4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6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4D5B"/>
    <w:rsid w:val="00043F03"/>
    <w:rsid w:val="000B1A8C"/>
    <w:rsid w:val="00125933"/>
    <w:rsid w:val="0014307F"/>
    <w:rsid w:val="00143492"/>
    <w:rsid w:val="00161A89"/>
    <w:rsid w:val="001B4626"/>
    <w:rsid w:val="001C029F"/>
    <w:rsid w:val="0021251B"/>
    <w:rsid w:val="0022681F"/>
    <w:rsid w:val="002961DB"/>
    <w:rsid w:val="003021E4"/>
    <w:rsid w:val="00336C6D"/>
    <w:rsid w:val="00341D82"/>
    <w:rsid w:val="00380169"/>
    <w:rsid w:val="003A4574"/>
    <w:rsid w:val="003A71A0"/>
    <w:rsid w:val="003C23C7"/>
    <w:rsid w:val="003C3EED"/>
    <w:rsid w:val="00412B0C"/>
    <w:rsid w:val="00450CA9"/>
    <w:rsid w:val="004545C8"/>
    <w:rsid w:val="00484D2A"/>
    <w:rsid w:val="004C577F"/>
    <w:rsid w:val="0057692C"/>
    <w:rsid w:val="005938DF"/>
    <w:rsid w:val="006A3F72"/>
    <w:rsid w:val="006A718F"/>
    <w:rsid w:val="006F15B1"/>
    <w:rsid w:val="00742D85"/>
    <w:rsid w:val="007C2062"/>
    <w:rsid w:val="007E19A4"/>
    <w:rsid w:val="00824108"/>
    <w:rsid w:val="00830BE8"/>
    <w:rsid w:val="00840C24"/>
    <w:rsid w:val="00870E83"/>
    <w:rsid w:val="00881E05"/>
    <w:rsid w:val="00883927"/>
    <w:rsid w:val="008A1EFA"/>
    <w:rsid w:val="008A2F5A"/>
    <w:rsid w:val="008B25FF"/>
    <w:rsid w:val="008E41D3"/>
    <w:rsid w:val="008E6780"/>
    <w:rsid w:val="00930E30"/>
    <w:rsid w:val="00964765"/>
    <w:rsid w:val="009751AA"/>
    <w:rsid w:val="009E1A78"/>
    <w:rsid w:val="009F3CC8"/>
    <w:rsid w:val="00A46B68"/>
    <w:rsid w:val="00AB41CA"/>
    <w:rsid w:val="00AE2E1D"/>
    <w:rsid w:val="00AF5995"/>
    <w:rsid w:val="00B143BA"/>
    <w:rsid w:val="00B165CB"/>
    <w:rsid w:val="00B521CD"/>
    <w:rsid w:val="00BC0689"/>
    <w:rsid w:val="00BC7646"/>
    <w:rsid w:val="00BE7FD6"/>
    <w:rsid w:val="00C25025"/>
    <w:rsid w:val="00C506A3"/>
    <w:rsid w:val="00C64D5B"/>
    <w:rsid w:val="00C7072D"/>
    <w:rsid w:val="00D20FE6"/>
    <w:rsid w:val="00D27D06"/>
    <w:rsid w:val="00D37C4E"/>
    <w:rsid w:val="00D4304D"/>
    <w:rsid w:val="00D62C78"/>
    <w:rsid w:val="00D73643"/>
    <w:rsid w:val="00D757DA"/>
    <w:rsid w:val="00D875E5"/>
    <w:rsid w:val="00D95125"/>
    <w:rsid w:val="00DE366D"/>
    <w:rsid w:val="00E42E19"/>
    <w:rsid w:val="00E4465A"/>
    <w:rsid w:val="00EC6544"/>
    <w:rsid w:val="00ED02F2"/>
    <w:rsid w:val="00EE60BC"/>
    <w:rsid w:val="00EF44BE"/>
    <w:rsid w:val="00F02A63"/>
    <w:rsid w:val="00F07938"/>
    <w:rsid w:val="00F20488"/>
    <w:rsid w:val="00F304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E88C1EE"/>
  <w14:defaultImageDpi w14:val="32767"/>
  <w15:chartTrackingRefBased/>
  <w15:docId w15:val="{DDB850BD-49BA-F14E-BEA4-8720CFF7A4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3C3EED"/>
    <w:pPr>
      <w:keepNext/>
      <w:keepLines/>
      <w:pageBreakBefore/>
      <w:spacing w:before="240" w:line="480" w:lineRule="auto"/>
      <w:jc w:val="center"/>
      <w:outlineLvl w:val="0"/>
    </w:pPr>
    <w:rPr>
      <w:rFonts w:eastAsiaTheme="majorEastAsia" w:cstheme="majorBidi"/>
      <w:b/>
      <w:color w:val="000000" w:themeColor="text1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3C3EED"/>
    <w:pPr>
      <w:keepNext/>
      <w:keepLines/>
      <w:spacing w:before="240" w:line="480" w:lineRule="auto"/>
      <w:outlineLvl w:val="1"/>
    </w:pPr>
    <w:rPr>
      <w:rFonts w:eastAsiaTheme="majorEastAsia" w:cstheme="majorBidi"/>
      <w:b/>
      <w:color w:val="000000" w:themeColor="text1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C3EED"/>
    <w:rPr>
      <w:rFonts w:eastAsiaTheme="majorEastAsia" w:cstheme="majorBidi"/>
      <w:b/>
      <w:color w:val="000000" w:themeColor="text1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3C3EED"/>
    <w:rPr>
      <w:rFonts w:eastAsiaTheme="majorEastAsia" w:cstheme="majorBidi"/>
      <w:b/>
      <w:color w:val="000000" w:themeColor="text1"/>
      <w:szCs w:val="26"/>
    </w:rPr>
  </w:style>
  <w:style w:type="table" w:styleId="TableGrid">
    <w:name w:val="Table Grid"/>
    <w:basedOn w:val="TableNormal"/>
    <w:uiPriority w:val="39"/>
    <w:rsid w:val="00AB41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36C6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C206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7C2062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043F03"/>
    <w:rPr>
      <w:color w:val="954F7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14307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307F"/>
  </w:style>
  <w:style w:type="character" w:styleId="PageNumber">
    <w:name w:val="page number"/>
    <w:basedOn w:val="DefaultParagraphFont"/>
    <w:uiPriority w:val="99"/>
    <w:semiHidden/>
    <w:unhideWhenUsed/>
    <w:rsid w:val="0014307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uspto.gov/learning-and-resources/fees-and-payment/uspto-fee-schedule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651</Words>
  <Characters>3712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Celia Bigoness</dc:creator>
  <cp:keywords/>
  <dc:description/>
  <cp:lastModifiedBy>Celia Bigoness</cp:lastModifiedBy>
  <cp:revision>3</cp:revision>
  <cp:lastPrinted>2018-04-16T21:30:00Z</cp:lastPrinted>
  <dcterms:created xsi:type="dcterms:W3CDTF">2018-08-17T16:01:00Z</dcterms:created>
  <dcterms:modified xsi:type="dcterms:W3CDTF">2019-08-21T19:14:00Z</dcterms:modified>
</cp:coreProperties>
</file>